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Spiele"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Hufer, Dorothee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Planet A : Das nachhaltige Kartenspiel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Dorothee Hufer, Jonas Hufer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Quickborn : Denkriesen,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105 Spielkarten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Spielanleitung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40230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Herausforderung: Unsere Erde ist unser Planet A. Sie zu schützen lohnt sich, denn es gibt keinen Planeten B. Steigender CO2-Ausstoß und eine Plastikflut überfordern unser sensibles Ökosystem; Klimawandel und Artensterben mit allen daraus resultierenden Veränderungen sind die Folge. Kämpfe dagegen an und rette unseren blauen Planeten. Naturkatastrophen und ewig gestrige politische Parteien kommen dir dabei in die Quere. Gib nicht auf! Schritt für Schritt retten wir die Erde, Hauptsache alle machen mit. Lösung: Mit 105 verschiedenen Spielkarten zum Thema Nachhaltigkeit setzen sich alle Spielenden mit vielen umweltfreundlichen Alltagsgegenständen und Ideen auseinander. Das Spiel schlägt durch die realitätsnahen Aufgaben und leicht umsetzbaren Ideen eine Brücke ins reale Leben und regt zum Nachmachen an. Spielbeschreibung: Alle Spielenden müssen eine geheime Aufgabe erfüllen: entweder Karten zu einem Thema auf der Hand sammeln oder dem Team Planet A in der Mitte des Tisches zu einer Sammlung verhelfen. Wer zuerst drei Aufgaben gelöst hat gewinnt. Die Umweltkatastrophen-, Umweltheld*innen und Umweltaktivist*innen-Karten wirbeln das Spielgeschehen durcheinander.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Hufer, Jonas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Spiel</w:t>
            </w:r>
          </w:p>
          <w:p>
            <w:pPr>
              <w:pBdr/>
              <w:spacing/>
              <w:rPr>
                <w:rFonts w:ascii="Arial" w:hAnsi="Arial" w:eastAsia="Arial" w:cs="Arial"/>
                <w:b w:val="0"/>
                <w:sz w:val="20"/>
              </w:rPr>
            </w:pPr>
            <w:r>
              <w:rPr>
                <w:rFonts w:ascii="Arial" w:hAnsi="Arial" w:eastAsia="Arial" w:cs="Arial"/>
                <w:b w:val="0"/>
                <w:sz w:val="20"/>
              </w:rPr>
              <w:t xml:space="preserve">Umwelterziehung</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pPr>
            <w:r>
              <w:rPr>
                <w:rFonts w:ascii="Arial" w:hAnsi="Arial" w:eastAsia="Arial" w:cs="Arial"/>
                <w:b w:val="0"/>
                <w:sz w:val="20"/>
              </w:rPr>
              <w:t xml:space="preserve">Umweltkatastrophe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PLAN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Abteilungsbibliothek ABU - extern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40247</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PLAN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Abteilungsbibliothek ABU - extern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40230</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PLAN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Abteilungsbibliothek ABU - extern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40225</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PLAN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Abteilungsbibliothek ABU - extern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40222</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PLAN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Abteilungsbibliothek ABU - extern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Nur für Lehrpersonen</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40209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